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/>
          <w:b/>
          <w:spacing w:val="-20"/>
          <w:sz w:val="28"/>
          <w:szCs w:val="28"/>
        </w:rPr>
      </w:pPr>
      <w:r>
        <w:rPr>
          <w:rFonts w:hint="eastAsia" w:ascii="黑体" w:hAnsi="黑体" w:eastAsia="黑体"/>
          <w:spacing w:val="-20"/>
          <w:sz w:val="32"/>
          <w:szCs w:val="32"/>
        </w:rPr>
        <w:t>附件</w:t>
      </w:r>
      <w:r>
        <w:rPr>
          <w:rFonts w:hint="eastAsia" w:ascii="宋体" w:hAnsi="宋体"/>
          <w:b/>
          <w:spacing w:val="-20"/>
          <w:sz w:val="28"/>
          <w:szCs w:val="28"/>
        </w:rPr>
        <w:t>一：</w:t>
      </w:r>
      <w:r>
        <w:rPr>
          <w:rFonts w:ascii="宋体" w:hAnsi="宋体"/>
          <w:b/>
          <w:spacing w:val="-20"/>
          <w:sz w:val="28"/>
          <w:szCs w:val="28"/>
        </w:rPr>
        <w:t xml:space="preserve">        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职业生涯规划书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评分标准</w:t>
      </w:r>
    </w:p>
    <w:tbl>
      <w:tblPr>
        <w:tblStyle w:val="4"/>
        <w:tblW w:w="93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852"/>
        <w:gridCol w:w="810"/>
        <w:gridCol w:w="6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评分要素</w:t>
            </w:r>
          </w:p>
        </w:tc>
        <w:tc>
          <w:tcPr>
            <w:tcW w:w="85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评分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要点</w:t>
            </w:r>
          </w:p>
        </w:tc>
        <w:tc>
          <w:tcPr>
            <w:tcW w:w="81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具体分值</w:t>
            </w:r>
          </w:p>
        </w:tc>
        <w:tc>
          <w:tcPr>
            <w:tcW w:w="6770" w:type="dxa"/>
            <w:vAlign w:val="center"/>
          </w:tcPr>
          <w:p>
            <w:pPr>
              <w:spacing w:line="320" w:lineRule="exact"/>
              <w:ind w:firstLine="3092" w:firstLineChars="110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具体描述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职业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规划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设计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书内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容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80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分</w:t>
            </w:r>
          </w:p>
        </w:tc>
        <w:tc>
          <w:tcPr>
            <w:tcW w:w="85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自我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认知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10分</w:t>
            </w:r>
          </w:p>
        </w:tc>
        <w:tc>
          <w:tcPr>
            <w:tcW w:w="81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5分</w:t>
            </w:r>
          </w:p>
        </w:tc>
        <w:tc>
          <w:tcPr>
            <w:tcW w:w="6770" w:type="dxa"/>
            <w:vAlign w:val="center"/>
          </w:tcPr>
          <w:p>
            <w:pPr>
              <w:spacing w:line="320" w:lineRule="exact"/>
              <w:ind w:left="360" w:hanging="360" w:hangingChars="1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自我分析清晰、全面、深入、客观，自身优、劣势认识清晰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3分</w:t>
            </w:r>
          </w:p>
        </w:tc>
        <w:tc>
          <w:tcPr>
            <w:tcW w:w="677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综合运用各类人才测评工具评估自己的职业兴趣、个性特征、职业能力和职业价值观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2分</w:t>
            </w:r>
          </w:p>
        </w:tc>
        <w:tc>
          <w:tcPr>
            <w:tcW w:w="677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能从个人兴趣、成长经历、社会实践和周围人的评价中分析自我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职业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认知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25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分</w:t>
            </w:r>
          </w:p>
        </w:tc>
        <w:tc>
          <w:tcPr>
            <w:tcW w:w="81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10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分</w:t>
            </w:r>
          </w:p>
        </w:tc>
        <w:tc>
          <w:tcPr>
            <w:tcW w:w="6770" w:type="dxa"/>
            <w:vAlign w:val="center"/>
          </w:tcPr>
          <w:p>
            <w:pPr>
              <w:spacing w:line="320" w:lineRule="exact"/>
              <w:ind w:left="1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有目标</w:t>
            </w:r>
            <w:r>
              <w:rPr>
                <w:rFonts w:ascii="仿宋_GB2312" w:eastAsia="仿宋_GB2312"/>
                <w:sz w:val="24"/>
                <w:szCs w:val="24"/>
              </w:rPr>
              <w:t>职业</w:t>
            </w:r>
            <w:r>
              <w:rPr>
                <w:rFonts w:hint="eastAsia" w:ascii="仿宋_GB2312" w:eastAsia="仿宋_GB2312"/>
                <w:sz w:val="24"/>
                <w:szCs w:val="24"/>
              </w:rPr>
              <w:t>职场</w:t>
            </w:r>
            <w:r>
              <w:rPr>
                <w:rFonts w:ascii="仿宋_GB2312" w:eastAsia="仿宋_GB2312"/>
                <w:sz w:val="24"/>
                <w:szCs w:val="24"/>
              </w:rPr>
              <w:t>人物访谈</w:t>
            </w:r>
            <w:r>
              <w:rPr>
                <w:rFonts w:hint="eastAsia" w:ascii="仿宋_GB2312" w:eastAsia="仿宋_GB2312"/>
                <w:sz w:val="24"/>
                <w:szCs w:val="24"/>
              </w:rPr>
              <w:t>内容</w:t>
            </w:r>
            <w:r>
              <w:rPr>
                <w:rFonts w:ascii="仿宋_GB2312" w:eastAsia="仿宋_GB2312"/>
                <w:sz w:val="24"/>
                <w:szCs w:val="24"/>
              </w:rPr>
              <w:t>，且</w:t>
            </w:r>
            <w:r>
              <w:rPr>
                <w:rFonts w:hint="eastAsia" w:ascii="仿宋_GB2312" w:eastAsia="仿宋_GB2312"/>
                <w:sz w:val="24"/>
                <w:szCs w:val="24"/>
              </w:rPr>
              <w:t>对</w:t>
            </w:r>
            <w:r>
              <w:rPr>
                <w:rFonts w:ascii="仿宋_GB2312" w:eastAsia="仿宋_GB2312"/>
                <w:sz w:val="24"/>
                <w:szCs w:val="24"/>
              </w:rPr>
              <w:t>目标职业认知具有</w:t>
            </w:r>
            <w:r>
              <w:rPr>
                <w:rFonts w:hint="eastAsia" w:ascii="仿宋_GB2312" w:eastAsia="仿宋_GB2312"/>
                <w:sz w:val="24"/>
                <w:szCs w:val="24"/>
              </w:rPr>
              <w:t>良好</w:t>
            </w:r>
            <w:r>
              <w:rPr>
                <w:rFonts w:ascii="仿宋_GB2312" w:eastAsia="仿宋_GB2312"/>
                <w:sz w:val="24"/>
                <w:szCs w:val="24"/>
              </w:rPr>
              <w:t>的指导性与针对性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3分</w:t>
            </w:r>
          </w:p>
        </w:tc>
        <w:tc>
          <w:tcPr>
            <w:tcW w:w="677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对目标职业的行业现状、前景及就业需求有清晰了解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5分</w:t>
            </w:r>
          </w:p>
        </w:tc>
        <w:tc>
          <w:tcPr>
            <w:tcW w:w="677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熟悉目标职业的工作内容、工作环境、典型生活方式，了解目标职业的待遇、未来发展趋势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3分</w:t>
            </w:r>
          </w:p>
        </w:tc>
        <w:tc>
          <w:tcPr>
            <w:tcW w:w="6770" w:type="dxa"/>
            <w:vAlign w:val="center"/>
          </w:tcPr>
          <w:p>
            <w:pPr>
              <w:spacing w:line="320" w:lineRule="exact"/>
              <w:ind w:left="360" w:hanging="360" w:hangingChars="1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清晰了解目标职业的进入途径、胜任标准以及对生活的影响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2分</w:t>
            </w:r>
          </w:p>
        </w:tc>
        <w:tc>
          <w:tcPr>
            <w:tcW w:w="6770" w:type="dxa"/>
            <w:vAlign w:val="center"/>
          </w:tcPr>
          <w:p>
            <w:pPr>
              <w:spacing w:line="320" w:lineRule="exact"/>
              <w:ind w:left="360" w:hanging="360" w:hangingChars="1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在探索过程中应用文献检索、访谈、见习、实习等方法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2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分</w:t>
            </w:r>
          </w:p>
        </w:tc>
        <w:tc>
          <w:tcPr>
            <w:tcW w:w="677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了解社会整体就业趋势与大学生就业状况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职业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决策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12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分</w:t>
            </w:r>
          </w:p>
        </w:tc>
        <w:tc>
          <w:tcPr>
            <w:tcW w:w="81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4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分</w:t>
            </w:r>
          </w:p>
        </w:tc>
        <w:tc>
          <w:tcPr>
            <w:tcW w:w="677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职业目标确定和发展路径设计符合外部环境和个人特质（兴趣、技能、特质、价值观），符合实际、可执行、可实现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4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分</w:t>
            </w:r>
          </w:p>
        </w:tc>
        <w:tc>
          <w:tcPr>
            <w:tcW w:w="677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对照自我认知和职业认知的结果，全面分析自己的优、劣势及面临的机会和挑战，职业目标的选择过程阐述详尽，合乎逻辑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2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分</w:t>
            </w:r>
          </w:p>
        </w:tc>
        <w:tc>
          <w:tcPr>
            <w:tcW w:w="677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备选目标要充分根据个人与环境的评估进行分析确定，备选目标职业发展路径与首选目标发展路径要有一定相关性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2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分</w:t>
            </w:r>
          </w:p>
        </w:tc>
        <w:tc>
          <w:tcPr>
            <w:tcW w:w="6770" w:type="dxa"/>
            <w:vAlign w:val="center"/>
          </w:tcPr>
          <w:p>
            <w:pPr>
              <w:spacing w:line="320" w:lineRule="exact"/>
              <w:ind w:left="360" w:hanging="360" w:hangingChars="1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能够正确运用评估理论和决策模型做出决策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计划与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路径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25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分</w:t>
            </w:r>
          </w:p>
        </w:tc>
        <w:tc>
          <w:tcPr>
            <w:tcW w:w="81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10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分</w:t>
            </w:r>
          </w:p>
        </w:tc>
        <w:tc>
          <w:tcPr>
            <w:tcW w:w="677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行动计划要发挥本人优势、弥补本人不足，具有可操作性（有相关社会实践经验者，应列明时间地点及证明人联系方式）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10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分</w:t>
            </w:r>
          </w:p>
        </w:tc>
        <w:tc>
          <w:tcPr>
            <w:tcW w:w="677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近期计划详尽清晰、可操作性强，中期计划清晰、具有灵活性，长期计划具有导向性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5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分</w:t>
            </w:r>
          </w:p>
        </w:tc>
        <w:tc>
          <w:tcPr>
            <w:tcW w:w="677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职业发展路径充分考虑进入途径、胜任标准等探索结果，符合逻辑和现实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自我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监控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8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分</w:t>
            </w:r>
          </w:p>
        </w:tc>
        <w:tc>
          <w:tcPr>
            <w:tcW w:w="81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3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分</w:t>
            </w:r>
          </w:p>
        </w:tc>
        <w:tc>
          <w:tcPr>
            <w:tcW w:w="6770" w:type="dxa"/>
            <w:vAlign w:val="center"/>
          </w:tcPr>
          <w:p>
            <w:pPr>
              <w:spacing w:line="320" w:lineRule="exact"/>
              <w:ind w:left="360" w:hanging="360" w:hangingChars="1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科学设定行动计划和职业目标的评估方案，标准和评估要素明确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3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分</w:t>
            </w:r>
          </w:p>
        </w:tc>
        <w:tc>
          <w:tcPr>
            <w:tcW w:w="677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正确评估行动计划实施过程和风险，制定切实可行的调整方案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2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分</w:t>
            </w:r>
          </w:p>
        </w:tc>
        <w:tc>
          <w:tcPr>
            <w:tcW w:w="677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方案调整依据个人与环境评估分析确定，并考虑首选目标与备选目标间的联系和差异，具有可操作性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参赛作品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设计思路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20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作品逻辑性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10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分</w:t>
            </w:r>
          </w:p>
        </w:tc>
        <w:tc>
          <w:tcPr>
            <w:tcW w:w="677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职业规划设计报告思路清晰、逻辑合理，能准确把握职业规划设计的核心与关键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作品美观性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10分</w:t>
            </w:r>
          </w:p>
        </w:tc>
        <w:tc>
          <w:tcPr>
            <w:tcW w:w="677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结构清晰，版面大方美观，创意新颖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E2A"/>
    <w:rsid w:val="001B0A7D"/>
    <w:rsid w:val="00492A3B"/>
    <w:rsid w:val="008F7E2A"/>
    <w:rsid w:val="00F54809"/>
    <w:rsid w:val="0AC05259"/>
    <w:rsid w:val="3423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148</Words>
  <Characters>849</Characters>
  <Lines>7</Lines>
  <Paragraphs>1</Paragraphs>
  <TotalTime>1</TotalTime>
  <ScaleCrop>false</ScaleCrop>
  <LinksUpToDate>false</LinksUpToDate>
  <CharactersWithSpaces>996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2018-08-20T02:31:00Z</dcterms:created>
  <dc:creator>王圣丹</dc:creator>
  <cp:lastModifiedBy>吴许琪</cp:lastModifiedBy>
  <dcterms:modified xsi:type="dcterms:W3CDTF">2020-09-01T06:03:54Z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